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22 233 / 95 vom 14. März 2022</w:t>
      </w:r>
    </w:p>
    <w:p>
      <w:r>
        <w:t>BL Gerichte, 2022-03-14, DE</w:t>
      </w:r>
    </w:p>
    <w:p>
      <w:r>
        <w:rPr>
          <w:b/>
        </w:rPr>
        <w:t xml:space="preserve">Quelle: </w:t>
      </w:r>
      <w:r>
        <w:t>https://mcp.opencaselaw.ch/entscheid/bl_gerichte_725 22 233 _ 95</w:t>
      </w:r>
    </w:p>
    <w:p>
      <w:r>
        <w:t>FR: BL_GERICHTE 725 22 233 / 95 du 14 mars 2022</w:t>
      </w:r>
    </w:p>
    <w:p>
      <w:r>
        <w:t>IT: BL_GERICHTE 725 22 233 / 95 del 14 marzo 2022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die im Übrigen frist- und formgerecht erhoben worden ist, zuständig.</w:t>
      </w:r>
    </w:p>
    <w:p>
      <w:r>
        <w:rPr>
          <w:b/>
        </w:rPr>
        <w:t>E. 2</w:t>
      </w:r>
    </w:p>
    <w:p>
      <w:r>
        <w:t>Es werden keine Verfahrenskosten erhoben.</w:t>
      </w:r>
    </w:p>
    <w:p>
      <w:r>
        <w:rPr>
          <w:b/>
        </w:rPr>
        <w:t>E. 3</w:t>
      </w:r>
    </w:p>
    <w:p>
      <w:r>
        <w:t>Die Elips Life AG hat der Beschwerdeführerin eine Parteientschädigung in der Höhe von Fr. 3'132.-- (inkl. Auslagen und 7,7 %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